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A236" w14:textId="77777777" w:rsidR="00085A2B" w:rsidRPr="00943DBA" w:rsidRDefault="00085A2B" w:rsidP="00085A2B">
      <w:pPr>
        <w:widowControl w:val="0"/>
        <w:jc w:val="left"/>
        <w:rPr>
          <w:rFonts w:cs="Arial"/>
          <w:b/>
          <w:szCs w:val="22"/>
        </w:rPr>
      </w:pPr>
      <w:r w:rsidRPr="00943DBA">
        <w:rPr>
          <w:rFonts w:cs="Arial"/>
          <w:b/>
          <w:szCs w:val="22"/>
        </w:rPr>
        <w:t>Integrated Rural Training Pipeline (IRTP)</w:t>
      </w:r>
    </w:p>
    <w:p w14:paraId="31F3F712" w14:textId="6F15809C" w:rsidR="008C3198" w:rsidRPr="00943DBA" w:rsidRDefault="00E53E5B" w:rsidP="008C3198">
      <w:pPr>
        <w:widowControl w:val="0"/>
        <w:jc w:val="left"/>
        <w:rPr>
          <w:rFonts w:cs="Arial"/>
          <w:b/>
          <w:szCs w:val="22"/>
        </w:rPr>
      </w:pPr>
      <w:r w:rsidRPr="00943DBA">
        <w:rPr>
          <w:rFonts w:cs="Arial"/>
          <w:b/>
          <w:szCs w:val="22"/>
        </w:rPr>
        <w:t>Rural Support Loading (RSL)</w:t>
      </w:r>
    </w:p>
    <w:p w14:paraId="3D3309D6" w14:textId="4E1F1E8D" w:rsidR="005F747F" w:rsidRPr="00943DBA" w:rsidRDefault="005F747F" w:rsidP="008C3198">
      <w:pPr>
        <w:widowControl w:val="0"/>
        <w:jc w:val="left"/>
        <w:rPr>
          <w:rFonts w:cs="Arial"/>
          <w:b/>
          <w:szCs w:val="22"/>
        </w:rPr>
      </w:pPr>
      <w:r w:rsidRPr="00943DBA">
        <w:rPr>
          <w:rFonts w:cs="Arial"/>
          <w:b/>
          <w:szCs w:val="22"/>
        </w:rPr>
        <w:t>C</w:t>
      </w:r>
      <w:r w:rsidR="008C3198" w:rsidRPr="00943DBA">
        <w:rPr>
          <w:rFonts w:cs="Arial"/>
          <w:b/>
          <w:szCs w:val="22"/>
        </w:rPr>
        <w:t>LAIM FORM</w:t>
      </w:r>
    </w:p>
    <w:p w14:paraId="3D3309D7" w14:textId="77777777" w:rsidR="005F747F" w:rsidRPr="008C3198" w:rsidRDefault="005F747F" w:rsidP="005F747F">
      <w:pPr>
        <w:widowControl w:val="0"/>
        <w:jc w:val="center"/>
        <w:rPr>
          <w:rFonts w:cs="Arial"/>
          <w:b/>
          <w:bCs/>
          <w:sz w:val="20"/>
          <w:lang w:eastAsia="en-AU"/>
        </w:rPr>
      </w:pPr>
    </w:p>
    <w:p w14:paraId="3D3309D8" w14:textId="5716FB23" w:rsidR="005F747F" w:rsidRPr="00773318" w:rsidRDefault="005F747F" w:rsidP="005F747F">
      <w:pPr>
        <w:widowControl w:val="0"/>
        <w:rPr>
          <w:rFonts w:cs="Arial"/>
          <w:sz w:val="20"/>
        </w:rPr>
      </w:pPr>
      <w:r w:rsidRPr="008C3198">
        <w:rPr>
          <w:rFonts w:cs="Arial"/>
          <w:sz w:val="20"/>
        </w:rPr>
        <w:t xml:space="preserve">Please report </w:t>
      </w:r>
      <w:r w:rsidR="00907EA7">
        <w:rPr>
          <w:rFonts w:cs="Arial"/>
          <w:sz w:val="20"/>
        </w:rPr>
        <w:t>on items you have purchased under the</w:t>
      </w:r>
      <w:r w:rsidR="00E53E5B">
        <w:rPr>
          <w:rFonts w:cs="Arial"/>
          <w:sz w:val="20"/>
        </w:rPr>
        <w:t xml:space="preserve"> Rural Support Loading</w:t>
      </w:r>
      <w:r w:rsidR="00A12B24" w:rsidRPr="008C3198">
        <w:rPr>
          <w:rFonts w:cs="Arial"/>
          <w:sz w:val="20"/>
        </w:rPr>
        <w:t xml:space="preserve"> </w:t>
      </w:r>
      <w:r w:rsidR="00907EA7">
        <w:rPr>
          <w:rFonts w:cs="Arial"/>
          <w:sz w:val="20"/>
        </w:rPr>
        <w:t>allowance</w:t>
      </w:r>
      <w:r w:rsidRPr="008C3198">
        <w:rPr>
          <w:rFonts w:cs="Arial"/>
          <w:sz w:val="20"/>
        </w:rPr>
        <w:t xml:space="preserve"> and include brief details for each item.</w:t>
      </w:r>
      <w:r w:rsidR="00E53E5B">
        <w:rPr>
          <w:rFonts w:cs="Arial"/>
          <w:sz w:val="20"/>
        </w:rPr>
        <w:t xml:space="preserve"> Do not submit receipts with this Claim Form</w:t>
      </w:r>
      <w:r w:rsidR="00A12B24" w:rsidRPr="008C3198">
        <w:rPr>
          <w:rFonts w:cs="Arial"/>
          <w:sz w:val="20"/>
        </w:rPr>
        <w:t>, but please retain</w:t>
      </w:r>
      <w:r w:rsidR="00E53E5B">
        <w:rPr>
          <w:rFonts w:cs="Arial"/>
          <w:sz w:val="20"/>
        </w:rPr>
        <w:t xml:space="preserve"> receipts and</w:t>
      </w:r>
      <w:r w:rsidR="00A12B24" w:rsidRPr="008C3198">
        <w:rPr>
          <w:rFonts w:cs="Arial"/>
          <w:sz w:val="20"/>
        </w:rPr>
        <w:t xml:space="preserve"> all relevant documentation in the event of a fut</w:t>
      </w:r>
      <w:r w:rsidRPr="008C3198">
        <w:rPr>
          <w:rFonts w:cs="Arial"/>
          <w:sz w:val="20"/>
        </w:rPr>
        <w:t>ure audit.</w:t>
      </w:r>
      <w:r w:rsidR="003F486B" w:rsidRPr="008C3198">
        <w:rPr>
          <w:rFonts w:cs="Arial"/>
          <w:b/>
          <w:i/>
          <w:sz w:val="20"/>
        </w:rPr>
        <w:t xml:space="preserve"> Note</w:t>
      </w:r>
      <w:r w:rsidR="003F486B" w:rsidRPr="008C3198">
        <w:rPr>
          <w:rFonts w:cs="Arial"/>
          <w:i/>
          <w:sz w:val="20"/>
        </w:rPr>
        <w:t xml:space="preserve">: claims will only be processed for actual expenses incurred (not projected or estimated expenses) during the </w:t>
      </w:r>
      <w:r w:rsidR="003F486B" w:rsidRPr="00773318">
        <w:rPr>
          <w:rFonts w:cs="Arial"/>
          <w:i/>
          <w:sz w:val="20"/>
        </w:rPr>
        <w:t>current reporting period.</w:t>
      </w:r>
      <w:r w:rsidR="0053065B" w:rsidRPr="00773318">
        <w:rPr>
          <w:rFonts w:cs="Arial"/>
          <w:i/>
          <w:sz w:val="20"/>
        </w:rPr>
        <w:t xml:space="preserve">  </w:t>
      </w:r>
    </w:p>
    <w:p w14:paraId="2C9FBBA1" w14:textId="06EDE62F" w:rsidR="00230300" w:rsidRPr="00773318" w:rsidRDefault="00230300" w:rsidP="005F747F">
      <w:pPr>
        <w:widowControl w:val="0"/>
        <w:rPr>
          <w:rFonts w:cs="Arial"/>
          <w:i/>
          <w:sz w:val="20"/>
        </w:rPr>
      </w:pPr>
    </w:p>
    <w:p w14:paraId="212BDB2B" w14:textId="49970026" w:rsidR="00230300" w:rsidRPr="00AE4F0C" w:rsidRDefault="00230300" w:rsidP="00230300">
      <w:pPr>
        <w:widowControl w:val="0"/>
        <w:rPr>
          <w:rFonts w:cs="Arial"/>
          <w:b/>
          <w:bCs/>
          <w:sz w:val="20"/>
        </w:rPr>
      </w:pPr>
      <w:r w:rsidRPr="00AE4F0C">
        <w:rPr>
          <w:rFonts w:cs="Arial"/>
          <w:b/>
          <w:bCs/>
          <w:sz w:val="20"/>
        </w:rPr>
        <w:t>Note:</w:t>
      </w:r>
    </w:p>
    <w:p w14:paraId="026B9112" w14:textId="77777777" w:rsidR="00E53E5B" w:rsidRPr="00E53E5B" w:rsidRDefault="00E53E5B" w:rsidP="00E53E5B">
      <w:pPr>
        <w:rPr>
          <w:rFonts w:cs="Arial"/>
          <w:bCs/>
          <w:sz w:val="20"/>
        </w:rPr>
      </w:pPr>
      <w:r w:rsidRPr="00E53E5B">
        <w:rPr>
          <w:rFonts w:cs="Arial"/>
          <w:bCs/>
          <w:sz w:val="20"/>
        </w:rPr>
        <w:t>RACMA may ask for further information and/or suitable evidence of expenses incurred by the setting or the trainee. The decision to accept or reject a claim is at the absolute discretion of the RACMA. Previous acceptance of a similar expense does not guarantee that it will be permitted.</w:t>
      </w:r>
    </w:p>
    <w:p w14:paraId="73A920CC" w14:textId="77777777" w:rsidR="00E53E5B" w:rsidRPr="00E53E5B" w:rsidRDefault="00E53E5B" w:rsidP="00E53E5B">
      <w:pPr>
        <w:rPr>
          <w:rFonts w:cs="Arial"/>
          <w:b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36"/>
      </w:tblGrid>
      <w:tr w:rsidR="00E53E5B" w:rsidRPr="00E53E5B" w14:paraId="7F36A1F9" w14:textId="77777777" w:rsidTr="00E53E5B">
        <w:trPr>
          <w:trHeight w:val="27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C3A55" w14:textId="77777777" w:rsidR="00E53E5B" w:rsidRPr="00E53E5B" w:rsidRDefault="00E53E5B" w:rsidP="00E53E5B">
            <w:pPr>
              <w:spacing w:after="60"/>
              <w:ind w:left="-113"/>
              <w:rPr>
                <w:rFonts w:cs="Arial"/>
                <w:b/>
                <w:sz w:val="20"/>
              </w:rPr>
            </w:pPr>
            <w:r w:rsidRPr="00E53E5B">
              <w:rPr>
                <w:rFonts w:cs="Arial"/>
                <w:b/>
                <w:sz w:val="20"/>
              </w:rPr>
              <w:t>Expenses eligible for Rural Support Loading funding</w:t>
            </w:r>
          </w:p>
        </w:tc>
      </w:tr>
      <w:tr w:rsidR="00E53E5B" w:rsidRPr="00E53E5B" w14:paraId="0CE21506" w14:textId="77777777" w:rsidTr="00E53E5B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3A5675"/>
          </w:tcPr>
          <w:p w14:paraId="6DF0B827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Expense 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3A5675"/>
          </w:tcPr>
          <w:p w14:paraId="46D5A32F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Comment </w:t>
            </w:r>
          </w:p>
        </w:tc>
      </w:tr>
      <w:tr w:rsidR="00E53E5B" w:rsidRPr="00E53E5B" w14:paraId="06D7C485" w14:textId="77777777" w:rsidTr="00E53E5B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803" w:type="dxa"/>
            <w:vAlign w:val="center"/>
          </w:tcPr>
          <w:p w14:paraId="584D3D94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Relocation costs </w:t>
            </w:r>
          </w:p>
        </w:tc>
        <w:tc>
          <w:tcPr>
            <w:tcW w:w="6836" w:type="dxa"/>
            <w:vAlign w:val="center"/>
          </w:tcPr>
          <w:p w14:paraId="26402BA9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Flights, household removal, vehicle removal </w:t>
            </w:r>
          </w:p>
        </w:tc>
      </w:tr>
      <w:tr w:rsidR="00E53E5B" w:rsidRPr="00E53E5B" w14:paraId="18C32D31" w14:textId="77777777" w:rsidTr="00E53E5B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2803" w:type="dxa"/>
            <w:vAlign w:val="center"/>
          </w:tcPr>
          <w:p w14:paraId="1E9AD8CB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Accommodation costs </w:t>
            </w:r>
          </w:p>
        </w:tc>
        <w:tc>
          <w:tcPr>
            <w:tcW w:w="6836" w:type="dxa"/>
            <w:vAlign w:val="center"/>
          </w:tcPr>
          <w:p w14:paraId="357B993F" w14:textId="3793C316" w:rsidR="00E53E5B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BE3B5A">
              <w:rPr>
                <w:rFonts w:ascii="Arial Narrow" w:hAnsi="Arial Narrow" w:cs="Arial"/>
                <w:color w:val="3A5675"/>
                <w:sz w:val="20"/>
                <w:szCs w:val="20"/>
              </w:rPr>
              <w:t>Local accommodation and living costs such as rent/bond and utility bills.</w:t>
            </w:r>
          </w:p>
          <w:p w14:paraId="703A031F" w14:textId="77777777" w:rsidR="00BE3B5A" w:rsidRDefault="00BE3B5A" w:rsidP="00E53E5B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BE3B5A">
              <w:rPr>
                <w:rFonts w:ascii="Arial Narrow" w:hAnsi="Arial Narrow" w:cs="Arial"/>
                <w:color w:val="3A5675"/>
                <w:sz w:val="20"/>
                <w:szCs w:val="20"/>
              </w:rPr>
              <w:t>If the accommodation is owned by the facility, the claim may include a written estimate of the rental value of accommodation being provided to the trainee.</w:t>
            </w:r>
          </w:p>
          <w:p w14:paraId="247788AD" w14:textId="76A29F06" w:rsidR="00E53E5B" w:rsidRPr="00E53E5B" w:rsidRDefault="00BE3B5A" w:rsidP="00E53E5B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The claim 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hould be reduced by any amount met by the trainee directly. </w:t>
            </w:r>
          </w:p>
        </w:tc>
      </w:tr>
      <w:tr w:rsidR="00E53E5B" w:rsidRPr="00E53E5B" w14:paraId="479060FB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12A96A33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Attendance at training courses, meetings, conferences </w:t>
            </w:r>
          </w:p>
        </w:tc>
        <w:tc>
          <w:tcPr>
            <w:tcW w:w="6836" w:type="dxa"/>
            <w:vAlign w:val="center"/>
          </w:tcPr>
          <w:p w14:paraId="085BDF40" w14:textId="50A7EF26" w:rsidR="00E53E5B" w:rsidRPr="00E53E5B" w:rsidRDefault="006506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Travel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, accommodation, registration and attendance charges at course, meetings and conferences related to </w:t>
            </w:r>
            <w:r w:rsidR="00AD4B89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Fellowship 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training.</w:t>
            </w:r>
          </w:p>
        </w:tc>
      </w:tr>
      <w:tr w:rsidR="00620BD1" w:rsidRPr="00E53E5B" w14:paraId="035E1349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42DAFE43" w14:textId="7411CA51" w:rsidR="00620BD1" w:rsidRPr="00E53E5B" w:rsidRDefault="00EB1F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Masters component for RACMA training</w:t>
            </w:r>
          </w:p>
        </w:tc>
        <w:tc>
          <w:tcPr>
            <w:tcW w:w="6836" w:type="dxa"/>
            <w:vAlign w:val="center"/>
          </w:tcPr>
          <w:p w14:paraId="66591A97" w14:textId="29DB2AFD" w:rsidR="00620BD1" w:rsidRDefault="00EB1F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University fees for Masters component for RACMA training</w:t>
            </w:r>
          </w:p>
        </w:tc>
      </w:tr>
      <w:tr w:rsidR="00AE5FB6" w:rsidRPr="00E53E5B" w14:paraId="130019B8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43DD41CD" w14:textId="286B3D2B" w:rsidR="00AE5FB6" w:rsidRPr="00E53E5B" w:rsidRDefault="00AE5FB6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Outreach activities</w:t>
            </w:r>
          </w:p>
        </w:tc>
        <w:tc>
          <w:tcPr>
            <w:tcW w:w="6836" w:type="dxa"/>
            <w:vAlign w:val="center"/>
          </w:tcPr>
          <w:p w14:paraId="1A3233F6" w14:textId="4F074D6C" w:rsidR="00AE5FB6" w:rsidRPr="00E53E5B" w:rsidRDefault="006506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Travel and accommodation expenses associated with outreach activities associated with Fellowship training.</w:t>
            </w:r>
          </w:p>
        </w:tc>
      </w:tr>
      <w:tr w:rsidR="00E53E5B" w:rsidRPr="00E53E5B" w14:paraId="10A29459" w14:textId="77777777" w:rsidTr="00E53E5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803" w:type="dxa"/>
            <w:vAlign w:val="center"/>
          </w:tcPr>
          <w:p w14:paraId="08E56902" w14:textId="648EFD99" w:rsidR="00E53E5B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IT </w:t>
            </w:r>
            <w:r w:rsidR="00AE5FB6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videoconferencing facilities</w:t>
            </w:r>
          </w:p>
        </w:tc>
        <w:tc>
          <w:tcPr>
            <w:tcW w:w="6836" w:type="dxa"/>
            <w:vAlign w:val="center"/>
          </w:tcPr>
          <w:p w14:paraId="63FA33D0" w14:textId="152E0BF6" w:rsidR="00E53E5B" w:rsidRPr="00E53E5B" w:rsidRDefault="00AE5FB6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IT 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oftware</w:t>
            </w:r>
            <w:r w:rsidR="00BE3B5A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and installation costs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relating to </w:t>
            </w:r>
            <w:r w:rsidR="00AD4B89">
              <w:rPr>
                <w:rFonts w:ascii="Arial Narrow" w:hAnsi="Arial Narrow" w:cs="Arial"/>
                <w:color w:val="3A5675"/>
                <w:sz w:val="20"/>
                <w:szCs w:val="20"/>
              </w:rPr>
              <w:t>Fellowship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training but not for the entire training site</w:t>
            </w:r>
            <w:r w:rsidR="00BF2364">
              <w:rPr>
                <w:rFonts w:ascii="Arial Narrow" w:hAnsi="Arial Narrow" w:cs="Arial"/>
                <w:color w:val="3A5675"/>
                <w:sz w:val="20"/>
                <w:szCs w:val="20"/>
              </w:rPr>
              <w:t>.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</w:t>
            </w:r>
          </w:p>
        </w:tc>
      </w:tr>
      <w:tr w:rsidR="00E53E5B" w:rsidRPr="00E53E5B" w14:paraId="1188A71C" w14:textId="77777777" w:rsidTr="00E53E5B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03" w:type="dxa"/>
            <w:vAlign w:val="center"/>
          </w:tcPr>
          <w:p w14:paraId="4821CF62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Research projects </w:t>
            </w:r>
          </w:p>
        </w:tc>
        <w:tc>
          <w:tcPr>
            <w:tcW w:w="6836" w:type="dxa"/>
            <w:vAlign w:val="center"/>
          </w:tcPr>
          <w:p w14:paraId="541DAD28" w14:textId="3BBD4B11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Access to online library, laboratory equipment</w:t>
            </w:r>
            <w:r w:rsidR="00D45CDE">
              <w:rPr>
                <w:rFonts w:ascii="Arial Narrow" w:hAnsi="Arial Narrow" w:cs="Arial"/>
                <w:color w:val="3A5675"/>
                <w:sz w:val="20"/>
                <w:szCs w:val="20"/>
              </w:rPr>
              <w:t>.</w:t>
            </w: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</w:t>
            </w:r>
          </w:p>
        </w:tc>
      </w:tr>
      <w:tr w:rsidR="00E53E5B" w:rsidRPr="00E53E5B" w14:paraId="6BFA7EF1" w14:textId="77777777" w:rsidTr="00AE5FB6">
        <w:tblPrEx>
          <w:tblLook w:val="0000" w:firstRow="0" w:lastRow="0" w:firstColumn="0" w:lastColumn="0" w:noHBand="0" w:noVBand="0"/>
        </w:tblPrEx>
        <w:trPr>
          <w:trHeight w:val="2057"/>
        </w:trPr>
        <w:tc>
          <w:tcPr>
            <w:tcW w:w="2803" w:type="dxa"/>
            <w:vAlign w:val="center"/>
          </w:tcPr>
          <w:p w14:paraId="427F8CE7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Resources</w:t>
            </w:r>
          </w:p>
        </w:tc>
        <w:tc>
          <w:tcPr>
            <w:tcW w:w="6836" w:type="dxa"/>
            <w:vAlign w:val="center"/>
          </w:tcPr>
          <w:p w14:paraId="324D4872" w14:textId="77777777" w:rsidR="00E53E5B" w:rsidRPr="00E53E5B" w:rsidRDefault="00E53E5B" w:rsidP="00E53E5B">
            <w:pPr>
              <w:pStyle w:val="ListParagraph"/>
              <w:widowControl w:val="0"/>
              <w:ind w:left="0"/>
              <w:rPr>
                <w:rFonts w:ascii="Arial Narrow" w:hAnsi="Arial Narrow" w:cs="Arial"/>
                <w:color w:val="3A5675"/>
                <w:sz w:val="20"/>
                <w:lang w:val="en-US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Materials </w:t>
            </w:r>
            <w:r w:rsidRPr="00E53E5B">
              <w:rPr>
                <w:rFonts w:ascii="Arial Narrow" w:hAnsi="Arial Narrow" w:cs="Arial"/>
                <w:color w:val="3A5675"/>
                <w:sz w:val="20"/>
                <w:lang w:val="en-US"/>
              </w:rPr>
              <w:t xml:space="preserve">related to the trainee experience in the location, e.g. </w:t>
            </w:r>
          </w:p>
          <w:p w14:paraId="59E0FEAD" w14:textId="2232B4CE" w:rsidR="00E53E5B" w:rsidRPr="00E53E5B" w:rsidRDefault="00CA7A7B" w:rsidP="00095B5A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relevant </w:t>
            </w:r>
            <w:r w:rsidR="00BE3B5A" w:rsidRPr="00095B5A">
              <w:rPr>
                <w:rFonts w:ascii="Arial Narrow" w:hAnsi="Arial Narrow" w:cs="Arial"/>
                <w:color w:val="3A5675"/>
                <w:sz w:val="20"/>
                <w:szCs w:val="20"/>
              </w:rPr>
              <w:t>journal</w:t>
            </w:r>
            <w:r w:rsidR="00BE3B5A" w:rsidRPr="00E53E5B">
              <w:rPr>
                <w:rFonts w:ascii="Arial Narrow" w:hAnsi="Arial Narrow" w:cs="Arial"/>
                <w:color w:val="3A5675"/>
                <w:sz w:val="20"/>
              </w:rPr>
              <w:t xml:space="preserve"> subscriptions </w:t>
            </w:r>
            <w:r w:rsidR="00BE3B5A">
              <w:rPr>
                <w:rFonts w:ascii="Arial Narrow" w:hAnsi="Arial Narrow" w:cs="Arial"/>
                <w:color w:val="3A5675"/>
                <w:sz w:val="20"/>
              </w:rPr>
              <w:t xml:space="preserve">and 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</w:rPr>
              <w:t xml:space="preserve">textbooks </w:t>
            </w:r>
          </w:p>
          <w:p w14:paraId="48EBEBBF" w14:textId="77777777" w:rsidR="00095B5A" w:rsidRDefault="00E53E5B" w:rsidP="00095B5A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 w:rsidRPr="00095B5A">
              <w:rPr>
                <w:rFonts w:ascii="Arial Narrow" w:hAnsi="Arial Narrow" w:cs="Arial"/>
                <w:color w:val="3A5675"/>
                <w:sz w:val="20"/>
              </w:rPr>
              <w:t xml:space="preserve">online training costs related to </w:t>
            </w:r>
            <w:r w:rsidR="00AD4B89" w:rsidRPr="00095B5A">
              <w:rPr>
                <w:rFonts w:ascii="Arial Narrow" w:hAnsi="Arial Narrow" w:cs="Arial"/>
                <w:color w:val="3A5675"/>
                <w:sz w:val="20"/>
              </w:rPr>
              <w:t>Fellowship</w:t>
            </w:r>
            <w:r w:rsidRPr="00095B5A">
              <w:rPr>
                <w:rFonts w:ascii="Arial Narrow" w:hAnsi="Arial Narrow" w:cs="Arial"/>
                <w:color w:val="3A5675"/>
                <w:sz w:val="20"/>
              </w:rPr>
              <w:t xml:space="preserve"> training</w:t>
            </w:r>
            <w:r w:rsidR="00095B5A" w:rsidRPr="00095B5A">
              <w:rPr>
                <w:rFonts w:ascii="Arial Narrow" w:hAnsi="Arial Narrow" w:cs="Arial"/>
                <w:color w:val="3A5675"/>
                <w:sz w:val="20"/>
              </w:rPr>
              <w:t xml:space="preserve"> including:</w:t>
            </w:r>
          </w:p>
          <w:p w14:paraId="08C11A4F" w14:textId="77777777" w:rsidR="00095B5A" w:rsidRDefault="00095B5A" w:rsidP="00095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</w:tabs>
              <w:ind w:left="1065"/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journal access/subscription, textbooks</w:t>
            </w:r>
          </w:p>
          <w:p w14:paraId="15C22C58" w14:textId="77777777" w:rsidR="00865B29" w:rsidRDefault="00095B5A" w:rsidP="00865B2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</w:tabs>
              <w:ind w:left="1065"/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 xml:space="preserve">membership of professional bodies that include online training resources such as webinars. </w:t>
            </w:r>
            <w:r w:rsidRPr="00865B29">
              <w:rPr>
                <w:rFonts w:ascii="Arial Narrow" w:hAnsi="Arial Narrow" w:cs="Arial"/>
                <w:b/>
                <w:bCs/>
                <w:color w:val="3A5675"/>
                <w:sz w:val="20"/>
              </w:rPr>
              <w:t>Evidence will need to be provided</w:t>
            </w:r>
            <w:r w:rsidR="00865B29" w:rsidRPr="00865B29">
              <w:rPr>
                <w:rFonts w:ascii="Arial Narrow" w:hAnsi="Arial Narrow" w:cs="Arial"/>
                <w:b/>
                <w:bCs/>
                <w:color w:val="3A5675"/>
                <w:sz w:val="20"/>
              </w:rPr>
              <w:t xml:space="preserve"> of training completion/participation</w:t>
            </w:r>
            <w:r w:rsidR="00865B29">
              <w:rPr>
                <w:rFonts w:ascii="Arial Narrow" w:hAnsi="Arial Narrow" w:cs="Arial"/>
                <w:color w:val="3A5675"/>
                <w:sz w:val="20"/>
              </w:rPr>
              <w:t>.</w:t>
            </w:r>
          </w:p>
          <w:p w14:paraId="33FF80BC" w14:textId="06CAA70C" w:rsidR="00E53E5B" w:rsidRPr="00BE3B5A" w:rsidRDefault="00CA7A7B" w:rsidP="00865B29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o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>ffice asset equipment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such as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 xml:space="preserve"> computers, phones, desks, IT equipment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>and associated facilities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for use by trainees.</w:t>
            </w:r>
          </w:p>
        </w:tc>
      </w:tr>
      <w:tr w:rsidR="00BF2364" w:rsidRPr="00E53E5B" w14:paraId="7D8B3AE6" w14:textId="77777777" w:rsidTr="00BF2364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803" w:type="dxa"/>
            <w:vAlign w:val="center"/>
          </w:tcPr>
          <w:p w14:paraId="51B58CB2" w14:textId="326B6236" w:rsidR="00BF2364" w:rsidRPr="00E53E5B" w:rsidRDefault="00BF2364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Professional development</w:t>
            </w:r>
          </w:p>
        </w:tc>
        <w:tc>
          <w:tcPr>
            <w:tcW w:w="6836" w:type="dxa"/>
            <w:vAlign w:val="center"/>
          </w:tcPr>
          <w:p w14:paraId="3CE3784F" w14:textId="34B23BB3" w:rsidR="00BF2364" w:rsidRPr="00E53E5B" w:rsidRDefault="00BF2364" w:rsidP="00E53E5B">
            <w:pPr>
              <w:pStyle w:val="ListParagraph"/>
              <w:widowControl w:val="0"/>
              <w:ind w:left="0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Professional development allowance for the trainee.</w:t>
            </w:r>
          </w:p>
        </w:tc>
      </w:tr>
      <w:tr w:rsidR="00BE3B5A" w:rsidRPr="00E53E5B" w14:paraId="7CA13C54" w14:textId="77777777" w:rsidTr="00BE3B5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03" w:type="dxa"/>
            <w:vAlign w:val="center"/>
          </w:tcPr>
          <w:p w14:paraId="7FD470D8" w14:textId="042D3B1C" w:rsidR="00BE3B5A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Establishment costs for new </w:t>
            </w:r>
            <w:r w:rsidR="00080430">
              <w:rPr>
                <w:rFonts w:ascii="Arial Narrow" w:hAnsi="Arial Narrow" w:cs="Arial"/>
                <w:color w:val="3A5675"/>
                <w:sz w:val="20"/>
                <w:szCs w:val="20"/>
              </w:rPr>
              <w:t>IRTP</w:t>
            </w: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positions</w:t>
            </w:r>
          </w:p>
        </w:tc>
        <w:tc>
          <w:tcPr>
            <w:tcW w:w="6836" w:type="dxa"/>
            <w:vAlign w:val="center"/>
          </w:tcPr>
          <w:p w14:paraId="13FA1917" w14:textId="586B7E78" w:rsidR="00BE3B5A" w:rsidRPr="00E53E5B" w:rsidRDefault="00AE5FB6" w:rsidP="00BE3B5A">
            <w:pPr>
              <w:widowControl w:val="0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Costs for initial training post setup to support trainees, including any costs associated with recruitment and retention.</w:t>
            </w:r>
          </w:p>
        </w:tc>
      </w:tr>
      <w:tr w:rsidR="00095B5A" w:rsidRPr="00E53E5B" w14:paraId="03E47F46" w14:textId="77777777" w:rsidTr="00BF2364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803" w:type="dxa"/>
            <w:vAlign w:val="center"/>
          </w:tcPr>
          <w:p w14:paraId="0033154A" w14:textId="77777777" w:rsidR="00095B5A" w:rsidRPr="00E53E5B" w:rsidRDefault="00095B5A" w:rsidP="00A47F67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Minor renovations</w:t>
            </w:r>
          </w:p>
        </w:tc>
        <w:tc>
          <w:tcPr>
            <w:tcW w:w="6836" w:type="dxa"/>
            <w:vAlign w:val="center"/>
          </w:tcPr>
          <w:p w14:paraId="42C4685D" w14:textId="5B63BFD6" w:rsidR="00095B5A" w:rsidRPr="00E53E5B" w:rsidRDefault="00095B5A" w:rsidP="00A47F67">
            <w:pPr>
              <w:pStyle w:val="ListParagraph"/>
              <w:widowControl w:val="0"/>
              <w:ind w:left="0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 xml:space="preserve">Minor renovation of existing facilities to accommodate specialty training such as re-allocation of an office, creation of an office/desk/training area, new desks, additional </w:t>
            </w:r>
            <w:r w:rsidR="00CA7A7B">
              <w:rPr>
                <w:rFonts w:ascii="Arial Narrow" w:hAnsi="Arial Narrow" w:cs="Arial"/>
                <w:color w:val="3A5675"/>
                <w:sz w:val="20"/>
              </w:rPr>
              <w:t xml:space="preserve">chairs. </w:t>
            </w:r>
            <w:r w:rsidR="00946C19">
              <w:rPr>
                <w:rFonts w:ascii="Arial Narrow" w:hAnsi="Arial Narrow" w:cs="Arial"/>
                <w:color w:val="3A5675"/>
                <w:sz w:val="20"/>
              </w:rPr>
              <w:t>Expenses in this category</w:t>
            </w:r>
            <w:r w:rsidR="00CA7A7B">
              <w:rPr>
                <w:rFonts w:ascii="Arial Narrow" w:hAnsi="Arial Narrow" w:cs="Arial"/>
                <w:color w:val="3A5675"/>
                <w:sz w:val="20"/>
              </w:rPr>
              <w:t xml:space="preserve"> are</w:t>
            </w:r>
            <w:r>
              <w:rPr>
                <w:rFonts w:ascii="Arial Narrow" w:hAnsi="Arial Narrow" w:cs="Arial"/>
                <w:color w:val="3A5675"/>
                <w:sz w:val="20"/>
              </w:rPr>
              <w:t xml:space="preserve"> generally considered to be a one-off expense per health setting.</w:t>
            </w:r>
          </w:p>
        </w:tc>
      </w:tr>
    </w:tbl>
    <w:p w14:paraId="11EFF6C8" w14:textId="77777777" w:rsidR="00E53E5B" w:rsidRDefault="00E53E5B" w:rsidP="00E53E5B">
      <w:pPr>
        <w:tabs>
          <w:tab w:val="left" w:pos="5545"/>
        </w:tabs>
        <w:rPr>
          <w:rFonts w:cs="Arial"/>
          <w:b/>
          <w:i/>
          <w:sz w:val="20"/>
          <w:lang w:eastAsia="en-AU"/>
        </w:rPr>
      </w:pPr>
    </w:p>
    <w:p w14:paraId="3DDB2089" w14:textId="77777777" w:rsidR="00E53E5B" w:rsidRPr="00E53E5B" w:rsidRDefault="00E53E5B" w:rsidP="00E53E5B">
      <w:pPr>
        <w:spacing w:after="60"/>
        <w:rPr>
          <w:rFonts w:cs="Arial"/>
          <w:b/>
          <w:sz w:val="20"/>
        </w:rPr>
      </w:pPr>
      <w:r w:rsidRPr="00E53E5B">
        <w:rPr>
          <w:rFonts w:cs="Arial"/>
          <w:b/>
          <w:sz w:val="20"/>
        </w:rPr>
        <w:t>Expenses NOT eligible for Rural Support Loading funding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E53E5B" w:rsidRPr="00E53E5B" w14:paraId="7786AAE3" w14:textId="77777777" w:rsidTr="00E53E5B">
        <w:trPr>
          <w:trHeight w:val="289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3A5675"/>
          </w:tcPr>
          <w:p w14:paraId="1A7C055C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Expense 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shd w:val="clear" w:color="auto" w:fill="3A5675"/>
          </w:tcPr>
          <w:p w14:paraId="22E648E1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Comment </w:t>
            </w:r>
          </w:p>
        </w:tc>
      </w:tr>
      <w:tr w:rsidR="00E53E5B" w:rsidRPr="00E53E5B" w14:paraId="4B5ED37D" w14:textId="77777777" w:rsidTr="00E53E5B">
        <w:trPr>
          <w:trHeight w:val="500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0456CDCA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Trainee salary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112173A9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Rural Loading funds will not be paid to ‘top up’ trainee salary. ‘Travel time’ to outreach clinics will not be approved.</w:t>
            </w:r>
          </w:p>
        </w:tc>
      </w:tr>
      <w:tr w:rsidR="00E53E5B" w:rsidRPr="00E53E5B" w14:paraId="7A05F829" w14:textId="77777777" w:rsidTr="00E53E5B">
        <w:trPr>
          <w:trHeight w:val="40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0FE44BFD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Supervisor or administrative salary or travel expenses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4443D9C3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Rural Loading funds will not be paid for administrative or Supervisors salaries or travel expenses.</w:t>
            </w:r>
          </w:p>
        </w:tc>
      </w:tr>
      <w:tr w:rsidR="00E53E5B" w:rsidRPr="00E53E5B" w14:paraId="474F5E59" w14:textId="77777777" w:rsidTr="00E53E5B">
        <w:trPr>
          <w:trHeight w:val="373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520E336E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Accreditation costs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05D7EA97" w14:textId="06F2595C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Costs associated with the accreditation of the site as a training post or in preparing an Expression of Interest for </w:t>
            </w:r>
            <w:r w:rsidR="00080430">
              <w:rPr>
                <w:rFonts w:ascii="Arial Narrow" w:hAnsi="Arial Narrow" w:cs="Arial"/>
                <w:color w:val="3A5675"/>
                <w:sz w:val="20"/>
              </w:rPr>
              <w:t>IRTP</w:t>
            </w: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 funding are ineligible </w:t>
            </w:r>
          </w:p>
        </w:tc>
      </w:tr>
      <w:tr w:rsidR="00E53E5B" w:rsidRPr="00E53E5B" w14:paraId="3B20D8F5" w14:textId="77777777" w:rsidTr="00E53E5B">
        <w:trPr>
          <w:trHeight w:val="465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4AE35EB6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International travel for trainees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0FB558EB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The Department of Health has specifically excluded international travel and attendance at training courses, meetings, and conferences held outside Australia </w:t>
            </w:r>
          </w:p>
        </w:tc>
      </w:tr>
      <w:tr w:rsidR="00E53E5B" w:rsidRPr="00E53E5B" w14:paraId="208CD727" w14:textId="77777777" w:rsidTr="00E53E5B">
        <w:trPr>
          <w:trHeight w:val="42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76300192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RACMA training and examination fees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2AB944B0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Rural Loading funds cannot be used to pay for training program or application fees or other College fees </w:t>
            </w:r>
          </w:p>
        </w:tc>
      </w:tr>
      <w:tr w:rsidR="00E53E5B" w:rsidRPr="00E53E5B" w14:paraId="7DAFBB3F" w14:textId="77777777" w:rsidTr="00E53E5B">
        <w:trPr>
          <w:trHeight w:val="37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5626A405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lastRenderedPageBreak/>
              <w:t xml:space="preserve">Internal hospital training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236F3E24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Training not related to the trainee’s Fellowship Training Program (e.g. all-staff induction, OH&amp;S) will not be funded. </w:t>
            </w:r>
          </w:p>
        </w:tc>
      </w:tr>
    </w:tbl>
    <w:p w14:paraId="38F92897" w14:textId="77777777" w:rsidR="00230300" w:rsidRPr="00230300" w:rsidRDefault="00230300" w:rsidP="00230300">
      <w:pPr>
        <w:widowControl w:val="0"/>
        <w:rPr>
          <w:rFonts w:cs="Arial"/>
          <w:b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1560"/>
        <w:gridCol w:w="4819"/>
      </w:tblGrid>
      <w:tr w:rsidR="000F0C27" w:rsidRPr="00AE4F0C" w14:paraId="50229ECA" w14:textId="77777777" w:rsidTr="00AE4F0C">
        <w:trPr>
          <w:trHeight w:val="599"/>
        </w:trPr>
        <w:tc>
          <w:tcPr>
            <w:tcW w:w="1809" w:type="dxa"/>
            <w:shd w:val="clear" w:color="auto" w:fill="3A5675"/>
            <w:vAlign w:val="center"/>
          </w:tcPr>
          <w:p w14:paraId="2C1B999D" w14:textId="5965DEB3" w:rsidR="000F0C27" w:rsidRPr="00AE4F0C" w:rsidRDefault="00D45CDE" w:rsidP="00AE4F0C">
            <w:pPr>
              <w:widowControl w:val="0"/>
              <w:tabs>
                <w:tab w:val="clear" w:pos="851"/>
                <w:tab w:val="clear" w:pos="1701"/>
              </w:tabs>
              <w:spacing w:before="40" w:after="40"/>
              <w:jc w:val="left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IR</w:t>
            </w:r>
            <w:r w:rsidR="000F0C27"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TP Ref No: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E0F5A2" w14:textId="77777777" w:rsidR="000F0C27" w:rsidRPr="00AE4F0C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3A5675"/>
            <w:vAlign w:val="center"/>
          </w:tcPr>
          <w:p w14:paraId="063C0C7D" w14:textId="77777777" w:rsidR="000F0C27" w:rsidRPr="00AE4F0C" w:rsidRDefault="000F0C27" w:rsidP="007E7EDC">
            <w:pPr>
              <w:widowControl w:val="0"/>
              <w:spacing w:before="40" w:after="40"/>
              <w:jc w:val="right"/>
              <w:rPr>
                <w:rFonts w:cs="Arial"/>
                <w:b/>
                <w:color w:val="FFC600"/>
                <w:sz w:val="20"/>
                <w:szCs w:val="22"/>
              </w:rPr>
            </w:pP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Setting 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B7D992" w14:textId="77777777" w:rsidR="000F0C27" w:rsidRPr="00AE4F0C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20"/>
                <w:szCs w:val="22"/>
              </w:rPr>
            </w:pPr>
          </w:p>
        </w:tc>
      </w:tr>
      <w:tr w:rsidR="000F0C27" w:rsidRPr="00BD3291" w14:paraId="1A072B59" w14:textId="77777777" w:rsidTr="000F0C27">
        <w:trPr>
          <w:trHeight w:val="467"/>
        </w:trPr>
        <w:tc>
          <w:tcPr>
            <w:tcW w:w="1809" w:type="dxa"/>
            <w:shd w:val="clear" w:color="auto" w:fill="3A5675"/>
            <w:vAlign w:val="center"/>
          </w:tcPr>
          <w:p w14:paraId="5B3282AC" w14:textId="38D52507" w:rsidR="000F0C27" w:rsidRPr="00AE4F0C" w:rsidRDefault="000F0C27" w:rsidP="00AE4F0C">
            <w:pPr>
              <w:widowControl w:val="0"/>
              <w:tabs>
                <w:tab w:val="clear" w:pos="851"/>
                <w:tab w:val="clear" w:pos="1701"/>
              </w:tabs>
              <w:spacing w:before="40" w:after="40"/>
              <w:ind w:right="5"/>
              <w:jc w:val="left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Period</w:t>
            </w:r>
            <w:r w:rsidR="008C3198"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of</w:t>
            </w: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clai</w:t>
            </w:r>
            <w:r w:rsidR="008C3198"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m</w:t>
            </w: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BCBF1C7" w14:textId="7EDB044F" w:rsidR="000F0C27" w:rsidRPr="00301331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color w:val="3A5675"/>
                <w:sz w:val="18"/>
              </w:rPr>
            </w:pPr>
          </w:p>
        </w:tc>
      </w:tr>
    </w:tbl>
    <w:p w14:paraId="120630BC" w14:textId="12885C2C" w:rsidR="000F0C27" w:rsidRDefault="000F0C27" w:rsidP="005F747F">
      <w:pPr>
        <w:widowControl w:val="0"/>
        <w:rPr>
          <w:rFonts w:cs="Arial"/>
          <w:b/>
          <w:sz w:val="16"/>
        </w:rPr>
      </w:pPr>
    </w:p>
    <w:p w14:paraId="3D3309EC" w14:textId="00821F9A" w:rsidR="005F747F" w:rsidRDefault="005F747F" w:rsidP="005F747F">
      <w:pPr>
        <w:rPr>
          <w:rFonts w:cs="Arial"/>
          <w:b/>
          <w:sz w:val="16"/>
        </w:rPr>
      </w:pPr>
    </w:p>
    <w:tbl>
      <w:tblPr>
        <w:tblW w:w="9802" w:type="dxa"/>
        <w:tblInd w:w="-26" w:type="dxa"/>
        <w:tblLook w:val="04A0" w:firstRow="1" w:lastRow="0" w:firstColumn="1" w:lastColumn="0" w:noHBand="0" w:noVBand="1"/>
      </w:tblPr>
      <w:tblGrid>
        <w:gridCol w:w="4699"/>
        <w:gridCol w:w="1134"/>
        <w:gridCol w:w="3969"/>
      </w:tblGrid>
      <w:tr w:rsidR="008C3198" w:rsidRPr="008C3198" w14:paraId="55E05CE3" w14:textId="77777777" w:rsidTr="00706134">
        <w:trPr>
          <w:trHeight w:val="30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4DF2A340" w14:textId="70CCA3A2" w:rsidR="00BE1428" w:rsidRPr="008C3198" w:rsidRDefault="00E53E5B" w:rsidP="00706134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eastAsia="en-AU"/>
              </w:rPr>
              <w:t>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706D9B33" w14:textId="77777777" w:rsidR="00BE1428" w:rsidRPr="008C3198" w:rsidRDefault="00BE1428" w:rsidP="00706134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Costs ($)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37E7E246" w14:textId="359946C0" w:rsidR="00BE1428" w:rsidRPr="008C3198" w:rsidRDefault="00BE1428" w:rsidP="00706134">
            <w:pPr>
              <w:spacing w:before="120" w:after="120"/>
              <w:rPr>
                <w:rFonts w:cs="Arial"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Details</w:t>
            </w:r>
          </w:p>
        </w:tc>
      </w:tr>
      <w:tr w:rsidR="00706134" w:rsidRPr="00F66B17" w14:paraId="4240638E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DE7" w14:textId="7E37CE93" w:rsidR="00706134" w:rsidRPr="0009780A" w:rsidRDefault="00706134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Relocation costs associated with training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1E1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235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0758CD96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26E" w14:textId="092436D6" w:rsidR="00706134" w:rsidRPr="0009780A" w:rsidRDefault="00706134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Accommodation costs</w:t>
            </w:r>
            <w:r w:rsidR="005D5669">
              <w:rPr>
                <w:rFonts w:cs="Arial"/>
                <w:sz w:val="20"/>
                <w:lang w:eastAsia="en-AU"/>
              </w:rPr>
              <w:t xml:space="preserve"> (rent, utilities)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E99D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1C34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42517ED0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AD09" w14:textId="2AB9DF04" w:rsidR="00706134" w:rsidRPr="0009780A" w:rsidRDefault="00706134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Attendance at training courses, meetings &amp; conferences (within Australia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1F4A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3ED0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620BD1" w:rsidRPr="00F66B17" w14:paraId="78386567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D0E" w14:textId="5748AC6B" w:rsidR="00620BD1" w:rsidRPr="0009780A" w:rsidRDefault="00943DBA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Masters component for RACMA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69D" w14:textId="77777777" w:rsidR="00620BD1" w:rsidRPr="00AF3F82" w:rsidRDefault="00620BD1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52D" w14:textId="77777777" w:rsidR="00620BD1" w:rsidRPr="00AF3F82" w:rsidRDefault="00620BD1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085A2B" w:rsidRPr="00F66B17" w14:paraId="1FFF54C2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3CC" w14:textId="4F1DC955" w:rsidR="00085A2B" w:rsidRPr="0009780A" w:rsidRDefault="005D5669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Outreach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ED3" w14:textId="7A24B1C9" w:rsidR="00085A2B" w:rsidRPr="00AF3F82" w:rsidRDefault="00085A2B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ED0F" w14:textId="77777777" w:rsidR="00085A2B" w:rsidRPr="00AF3F82" w:rsidRDefault="00085A2B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02D038CD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D5D1" w14:textId="25D4117A" w:rsidR="00706134" w:rsidRPr="0009780A" w:rsidRDefault="00085A2B" w:rsidP="00706134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85A2B">
              <w:rPr>
                <w:rFonts w:cs="Arial"/>
                <w:sz w:val="20"/>
                <w:lang w:eastAsia="en-AU"/>
              </w:rPr>
              <w:t>IT and videoconferencing facilities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E1D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A8C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673CA67D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BF15" w14:textId="14860E16" w:rsidR="00706134" w:rsidRPr="0009780A" w:rsidRDefault="00706134" w:rsidP="00706134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Research projects (e.g. access to online library, laboratory equipment)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3B5C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01C4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07FED950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0E90" w14:textId="7B406BDE" w:rsidR="00706134" w:rsidRPr="0009780A" w:rsidRDefault="00706134" w:rsidP="00706134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Resources (e.g. books, computers</w:t>
            </w:r>
            <w:r w:rsidR="00085A2B">
              <w:rPr>
                <w:rFonts w:cs="Arial"/>
                <w:sz w:val="20"/>
                <w:lang w:eastAsia="en-AU"/>
              </w:rPr>
              <w:t>, journals, office equipment</w:t>
            </w:r>
            <w:r w:rsidRPr="0009780A">
              <w:rPr>
                <w:rFonts w:cs="Arial"/>
                <w:sz w:val="20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8A72" w14:textId="4E1C38D9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2F9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BF2364" w:rsidRPr="00F66B17" w14:paraId="138687B2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8FCC" w14:textId="208BBD3E" w:rsidR="00BF2364" w:rsidRPr="0009780A" w:rsidRDefault="00D45CDE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Trainee Professional Development allowance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1E9" w14:textId="77777777" w:rsidR="00BF2364" w:rsidRPr="00AF3F82" w:rsidRDefault="00BF236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874" w14:textId="77777777" w:rsidR="00BF2364" w:rsidRPr="00AF3F82" w:rsidRDefault="00BF236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085A2B" w:rsidRPr="00F66B17" w14:paraId="12FEAFA0" w14:textId="77777777" w:rsidTr="00706134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B123" w14:textId="7113F1E7" w:rsidR="00085A2B" w:rsidRPr="0009780A" w:rsidRDefault="005D5669" w:rsidP="00706134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Establishment costs for new IRTP positions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7059" w14:textId="77777777" w:rsidR="00085A2B" w:rsidRPr="00AF3F82" w:rsidRDefault="00085A2B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7A3" w14:textId="77777777" w:rsidR="00085A2B" w:rsidRPr="00AF3F82" w:rsidRDefault="00085A2B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706134" w:rsidRPr="00F66B17" w14:paraId="637C3AB5" w14:textId="77777777" w:rsidTr="00AE4F0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26" w14:textId="635A9C39" w:rsidR="00706134" w:rsidRPr="0009780A" w:rsidRDefault="005D5669" w:rsidP="00706134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Minor renovations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4F68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4A7C" w14:textId="77777777" w:rsidR="00706134" w:rsidRPr="00AF3F82" w:rsidRDefault="00706134" w:rsidP="00706134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AE4F0C" w:rsidRPr="00AE4F0C" w14:paraId="08980C47" w14:textId="77777777" w:rsidTr="00AE4F0C">
        <w:trPr>
          <w:trHeight w:val="396"/>
        </w:trPr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952" w14:textId="771DC48D" w:rsidR="00BE1428" w:rsidRPr="00AE4F0C" w:rsidRDefault="00BE1428" w:rsidP="00AE4F0C">
            <w:pPr>
              <w:tabs>
                <w:tab w:val="clear" w:pos="4536"/>
              </w:tabs>
              <w:spacing w:before="120" w:after="120"/>
              <w:ind w:right="179"/>
              <w:jc w:val="right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AE4F0C">
              <w:rPr>
                <w:rFonts w:cs="Arial"/>
                <w:b/>
                <w:sz w:val="24"/>
                <w:szCs w:val="24"/>
                <w:lang w:eastAsia="en-AU"/>
              </w:rPr>
              <w:t>Total C</w:t>
            </w:r>
            <w:r w:rsidR="004E501F">
              <w:rPr>
                <w:rFonts w:cs="Arial"/>
                <w:b/>
                <w:sz w:val="24"/>
                <w:szCs w:val="24"/>
                <w:lang w:eastAsia="en-AU"/>
              </w:rPr>
              <w:t>laim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B572" w14:textId="77777777" w:rsidR="00BE1428" w:rsidRPr="00AE4F0C" w:rsidRDefault="00BE1428" w:rsidP="00706134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B45" w14:textId="77777777" w:rsidR="00BE1428" w:rsidRPr="00AE4F0C" w:rsidRDefault="00BE1428" w:rsidP="00706134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</w:tr>
    </w:tbl>
    <w:p w14:paraId="1B02F585" w14:textId="5B91A6FD" w:rsidR="00BE1428" w:rsidRDefault="00BE1428" w:rsidP="005F747F">
      <w:pPr>
        <w:rPr>
          <w:rFonts w:cs="Arial"/>
          <w:b/>
          <w:sz w:val="1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0300" w:rsidRPr="00230300" w14:paraId="79F61B09" w14:textId="77777777" w:rsidTr="0027049E">
        <w:tc>
          <w:tcPr>
            <w:tcW w:w="9810" w:type="dxa"/>
            <w:shd w:val="clear" w:color="auto" w:fill="3A5675"/>
          </w:tcPr>
          <w:p w14:paraId="13493154" w14:textId="77777777" w:rsidR="0027049E" w:rsidRPr="00230300" w:rsidRDefault="0027049E" w:rsidP="007E7EDC">
            <w:pPr>
              <w:spacing w:before="120" w:after="120"/>
              <w:ind w:left="176" w:hanging="176"/>
              <w:rPr>
                <w:rFonts w:cs="Arial"/>
                <w:b/>
                <w:color w:val="FFFFFF" w:themeColor="background1"/>
                <w:sz w:val="20"/>
              </w:rPr>
            </w:pPr>
            <w:r w:rsidRPr="00230300">
              <w:rPr>
                <w:rFonts w:cs="Arial"/>
                <w:b/>
                <w:color w:val="FFFFFF" w:themeColor="background1"/>
                <w:sz w:val="20"/>
              </w:rPr>
              <w:t>Comments (if required)</w:t>
            </w:r>
          </w:p>
        </w:tc>
      </w:tr>
      <w:tr w:rsidR="0027049E" w:rsidRPr="00013E5F" w14:paraId="4A2D93DC" w14:textId="77777777" w:rsidTr="0027049E">
        <w:tc>
          <w:tcPr>
            <w:tcW w:w="9810" w:type="dxa"/>
            <w:shd w:val="clear" w:color="auto" w:fill="auto"/>
          </w:tcPr>
          <w:p w14:paraId="717818F6" w14:textId="1AF3A5C1" w:rsidR="0027049E" w:rsidRDefault="0027049E" w:rsidP="007E7EDC">
            <w:pPr>
              <w:rPr>
                <w:rFonts w:cs="Arial"/>
                <w:bCs/>
                <w:sz w:val="20"/>
              </w:rPr>
            </w:pPr>
          </w:p>
          <w:p w14:paraId="102AAF50" w14:textId="50944D81" w:rsidR="00CC32B9" w:rsidRDefault="00CC32B9" w:rsidP="007E7EDC">
            <w:pPr>
              <w:rPr>
                <w:rFonts w:cs="Arial"/>
                <w:bCs/>
                <w:sz w:val="20"/>
              </w:rPr>
            </w:pPr>
          </w:p>
          <w:p w14:paraId="646E259A" w14:textId="77777777" w:rsidR="00CC32B9" w:rsidRDefault="00CC32B9" w:rsidP="007E7EDC">
            <w:pPr>
              <w:rPr>
                <w:rFonts w:cs="Arial"/>
                <w:bCs/>
                <w:sz w:val="20"/>
              </w:rPr>
            </w:pPr>
          </w:p>
          <w:p w14:paraId="1D43F581" w14:textId="532E04FE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07650997" w14:textId="77777777" w:rsidR="0027049E" w:rsidRPr="00013E5F" w:rsidRDefault="0027049E" w:rsidP="007E7EDC">
            <w:pPr>
              <w:rPr>
                <w:rFonts w:cs="Arial"/>
                <w:b/>
                <w:sz w:val="20"/>
              </w:rPr>
            </w:pPr>
          </w:p>
        </w:tc>
      </w:tr>
    </w:tbl>
    <w:p w14:paraId="518E4CFE" w14:textId="3CFCEC2A" w:rsidR="00230300" w:rsidRDefault="00230300" w:rsidP="0027049E"/>
    <w:p w14:paraId="626177AE" w14:textId="3F1536F6" w:rsidR="007A2CAC" w:rsidRDefault="007A2CAC" w:rsidP="00230300">
      <w:pPr>
        <w:pStyle w:val="Default"/>
        <w:rPr>
          <w:rFonts w:ascii="Arial" w:hAnsi="Arial" w:cs="Arial"/>
          <w:b/>
          <w:bCs/>
          <w:color w:val="auto"/>
        </w:rPr>
      </w:pPr>
      <w:r w:rsidRPr="00230300">
        <w:rPr>
          <w:rFonts w:ascii="Arial" w:hAnsi="Arial" w:cs="Arial"/>
          <w:b/>
          <w:bCs/>
          <w:color w:val="auto"/>
        </w:rPr>
        <w:t>Declaration</w:t>
      </w:r>
      <w:r w:rsidR="000F0C27" w:rsidRPr="00230300">
        <w:rPr>
          <w:rFonts w:ascii="Arial" w:hAnsi="Arial" w:cs="Arial"/>
          <w:b/>
          <w:bCs/>
          <w:color w:val="auto"/>
        </w:rPr>
        <w:t>:</w:t>
      </w:r>
    </w:p>
    <w:p w14:paraId="444293D7" w14:textId="1AB2FE1C" w:rsidR="00600EBD" w:rsidRPr="00230300" w:rsidRDefault="00600EBD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understand that</w:t>
      </w:r>
      <w:bookmarkStart w:id="0" w:name="_Hlk29492828"/>
      <w:r w:rsidRPr="00230300">
        <w:rPr>
          <w:rFonts w:cs="Arial"/>
          <w:bCs/>
          <w:sz w:val="20"/>
        </w:rPr>
        <w:t xml:space="preserve"> </w:t>
      </w:r>
      <w:r w:rsidR="00DC514B" w:rsidRPr="00230300">
        <w:rPr>
          <w:rFonts w:cs="Arial"/>
          <w:bCs/>
          <w:sz w:val="20"/>
        </w:rPr>
        <w:t>the funded setting is</w:t>
      </w:r>
      <w:r w:rsidRPr="00230300">
        <w:rPr>
          <w:rFonts w:cs="Arial"/>
          <w:bCs/>
          <w:sz w:val="20"/>
        </w:rPr>
        <w:t xml:space="preserve"> </w:t>
      </w:r>
      <w:bookmarkEnd w:id="0"/>
      <w:r w:rsidRPr="00230300">
        <w:rPr>
          <w:rFonts w:cs="Arial"/>
          <w:bCs/>
          <w:sz w:val="20"/>
        </w:rPr>
        <w:t xml:space="preserve">required to retain documentary evidence of all items claimed via this </w:t>
      </w:r>
      <w:r w:rsidR="006826E0" w:rsidRPr="00230300">
        <w:rPr>
          <w:rFonts w:cs="Arial"/>
          <w:bCs/>
          <w:sz w:val="20"/>
        </w:rPr>
        <w:t>funding and</w:t>
      </w:r>
      <w:r w:rsidRPr="00230300">
        <w:rPr>
          <w:rFonts w:cs="Arial"/>
          <w:bCs/>
          <w:sz w:val="20"/>
        </w:rPr>
        <w:t xml:space="preserve"> be able to provide these records upon request or for future audit purposes.</w:t>
      </w:r>
    </w:p>
    <w:p w14:paraId="3D37FB95" w14:textId="3EA7B73B" w:rsidR="007A2CAC" w:rsidRDefault="007A2CAC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verify that the information contained in this Form is complete and correct</w:t>
      </w:r>
      <w:r w:rsidR="00230300">
        <w:rPr>
          <w:rFonts w:cs="Arial"/>
          <w:bCs/>
          <w:sz w:val="20"/>
        </w:rPr>
        <w:t xml:space="preserve"> at time of submission</w:t>
      </w:r>
      <w:r w:rsidRPr="00230300">
        <w:rPr>
          <w:rFonts w:cs="Arial"/>
          <w:bCs/>
          <w:sz w:val="20"/>
        </w:rPr>
        <w:t xml:space="preserve">.  </w:t>
      </w:r>
    </w:p>
    <w:p w14:paraId="2DC1D684" w14:textId="77777777" w:rsidR="004E638B" w:rsidRPr="004E638B" w:rsidRDefault="004E638B" w:rsidP="004E638B">
      <w:pPr>
        <w:pStyle w:val="ListParagraph"/>
        <w:rPr>
          <w:rFonts w:cs="Arial"/>
          <w:bCs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3499"/>
        <w:gridCol w:w="1276"/>
        <w:gridCol w:w="3118"/>
      </w:tblGrid>
      <w:tr w:rsidR="000F0C27" w:rsidRPr="00BD3291" w14:paraId="4CD1417D" w14:textId="77777777" w:rsidTr="00943DBA">
        <w:trPr>
          <w:trHeight w:val="505"/>
        </w:trPr>
        <w:tc>
          <w:tcPr>
            <w:tcW w:w="1888" w:type="dxa"/>
            <w:shd w:val="clear" w:color="auto" w:fill="3A5675"/>
            <w:vAlign w:val="center"/>
          </w:tcPr>
          <w:p w14:paraId="26D173D4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Report Prepared by: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C556614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0339F3D9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Signature: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4C727E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D3291" w14:paraId="27CF72B4" w14:textId="77777777" w:rsidTr="00943DBA">
        <w:trPr>
          <w:trHeight w:val="409"/>
        </w:trPr>
        <w:tc>
          <w:tcPr>
            <w:tcW w:w="1888" w:type="dxa"/>
            <w:shd w:val="clear" w:color="auto" w:fill="3A5675"/>
            <w:vAlign w:val="center"/>
          </w:tcPr>
          <w:p w14:paraId="12CA309B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Position: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1B755C4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21622788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Date: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935277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D3291" w14:paraId="67A00B9E" w14:textId="77777777" w:rsidTr="00943DBA">
        <w:trPr>
          <w:trHeight w:val="306"/>
        </w:trPr>
        <w:tc>
          <w:tcPr>
            <w:tcW w:w="1888" w:type="dxa"/>
            <w:shd w:val="clear" w:color="auto" w:fill="3A5675"/>
            <w:vAlign w:val="center"/>
          </w:tcPr>
          <w:p w14:paraId="5C702434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Email: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529BD4D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3D5007B8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Telephone: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44E207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</w:tbl>
    <w:p w14:paraId="01EAADE1" w14:textId="004F5814" w:rsidR="000F0C27" w:rsidRPr="0092021A" w:rsidRDefault="000F0C27" w:rsidP="004E638B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1040"/>
        </w:tabs>
        <w:rPr>
          <w:sz w:val="24"/>
          <w:szCs w:val="22"/>
        </w:rPr>
      </w:pPr>
    </w:p>
    <w:sectPr w:rsidR="000F0C27" w:rsidRPr="0092021A" w:rsidSect="00AE4F0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7" w:right="1134" w:bottom="709" w:left="1134" w:header="567" w:footer="493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0A5F" w14:textId="77777777" w:rsidR="00A12962" w:rsidRDefault="004B3854">
      <w:r>
        <w:separator/>
      </w:r>
    </w:p>
  </w:endnote>
  <w:endnote w:type="continuationSeparator" w:id="0">
    <w:p w14:paraId="3D330A61" w14:textId="77777777" w:rsidR="00A12962" w:rsidRDefault="004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E90" w14:textId="4082DDC8" w:rsidR="00536D31" w:rsidRPr="000C5088" w:rsidRDefault="00D45CDE" w:rsidP="00536D31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IR</w:t>
    </w:r>
    <w:r w:rsidR="006364EC">
      <w:rPr>
        <w:i/>
        <w:sz w:val="16"/>
        <w:szCs w:val="16"/>
      </w:rPr>
      <w:t>TP</w:t>
    </w:r>
    <w:r w:rsidR="00536D31">
      <w:rPr>
        <w:i/>
        <w:sz w:val="16"/>
        <w:szCs w:val="16"/>
      </w:rPr>
      <w:t>-</w:t>
    </w:r>
    <w:r w:rsidR="006364EC">
      <w:rPr>
        <w:i/>
        <w:sz w:val="16"/>
        <w:szCs w:val="16"/>
      </w:rPr>
      <w:t>RSL</w:t>
    </w:r>
    <w:r w:rsidR="00536D31">
      <w:rPr>
        <w:i/>
        <w:sz w:val="16"/>
        <w:szCs w:val="16"/>
      </w:rPr>
      <w:t xml:space="preserve"> </w:t>
    </w:r>
    <w:r w:rsidR="00536D31" w:rsidRPr="000C5088">
      <w:rPr>
        <w:i/>
        <w:sz w:val="16"/>
        <w:szCs w:val="16"/>
      </w:rPr>
      <w:t>Claim Form</w:t>
    </w:r>
    <w:r w:rsidR="00536D31" w:rsidRPr="000C5088">
      <w:rPr>
        <w:i/>
        <w:sz w:val="16"/>
        <w:szCs w:val="16"/>
      </w:rPr>
      <w:tab/>
      <w:t xml:space="preserve">Page 2 of 2 </w:t>
    </w:r>
  </w:p>
  <w:p w14:paraId="1C7459EF" w14:textId="77777777" w:rsidR="00230300" w:rsidRDefault="0023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A5A" w14:textId="0A640976" w:rsidR="00931DDE" w:rsidRPr="000C5088" w:rsidRDefault="00D45CDE" w:rsidP="000C5088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IR</w:t>
    </w:r>
    <w:r w:rsidR="006364EC">
      <w:rPr>
        <w:i/>
        <w:sz w:val="16"/>
        <w:szCs w:val="16"/>
      </w:rPr>
      <w:t>TP</w:t>
    </w:r>
    <w:r w:rsidR="00230300">
      <w:rPr>
        <w:i/>
        <w:sz w:val="16"/>
        <w:szCs w:val="16"/>
      </w:rPr>
      <w:t>-</w:t>
    </w:r>
    <w:r w:rsidR="00E53E5B">
      <w:rPr>
        <w:i/>
        <w:sz w:val="16"/>
        <w:szCs w:val="16"/>
      </w:rPr>
      <w:t>RSL</w:t>
    </w:r>
    <w:r w:rsidR="00230300">
      <w:rPr>
        <w:i/>
        <w:sz w:val="16"/>
        <w:szCs w:val="16"/>
      </w:rPr>
      <w:t xml:space="preserve"> </w:t>
    </w:r>
    <w:r w:rsidR="005F747F" w:rsidRPr="000C5088">
      <w:rPr>
        <w:i/>
        <w:sz w:val="16"/>
        <w:szCs w:val="16"/>
      </w:rPr>
      <w:t>Claim Form</w:t>
    </w:r>
    <w:r w:rsidR="005F747F" w:rsidRPr="000C5088">
      <w:rPr>
        <w:i/>
        <w:sz w:val="16"/>
        <w:szCs w:val="16"/>
      </w:rPr>
      <w:tab/>
      <w:t xml:space="preserve">Page </w:t>
    </w:r>
    <w:r w:rsidR="00536D31">
      <w:rPr>
        <w:i/>
        <w:sz w:val="16"/>
        <w:szCs w:val="16"/>
      </w:rPr>
      <w:t>1</w:t>
    </w:r>
    <w:r w:rsidR="005F747F" w:rsidRPr="000C5088">
      <w:rPr>
        <w:i/>
        <w:sz w:val="16"/>
        <w:szCs w:val="16"/>
      </w:rPr>
      <w:t xml:space="preserve"> of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0A5B" w14:textId="77777777" w:rsidR="00A12962" w:rsidRDefault="004B3854">
      <w:r>
        <w:separator/>
      </w:r>
    </w:p>
  </w:footnote>
  <w:footnote w:type="continuationSeparator" w:id="0">
    <w:p w14:paraId="3D330A5D" w14:textId="77777777" w:rsidR="00A12962" w:rsidRDefault="004B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2D05" w14:textId="3C657C69" w:rsidR="00230300" w:rsidRDefault="00536D31" w:rsidP="00536D31">
    <w:pPr>
      <w:pStyle w:val="Header"/>
      <w:jc w:val="right"/>
    </w:pPr>
    <w:r>
      <w:rPr>
        <w:noProof/>
      </w:rPr>
      <w:drawing>
        <wp:inline distT="0" distB="0" distL="0" distR="0" wp14:anchorId="1C62976C" wp14:editId="0D57C475">
          <wp:extent cx="1678675" cy="615315"/>
          <wp:effectExtent l="0" t="0" r="0" b="0"/>
          <wp:docPr id="85" name="Picture 8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AEB" w14:textId="181BB83C" w:rsidR="008C3198" w:rsidRDefault="008C3198" w:rsidP="008C3198">
    <w:pPr>
      <w:pStyle w:val="Header"/>
      <w:jc w:val="right"/>
    </w:pPr>
    <w:r>
      <w:rPr>
        <w:noProof/>
      </w:rPr>
      <w:drawing>
        <wp:inline distT="0" distB="0" distL="0" distR="0" wp14:anchorId="7A778A9E" wp14:editId="0C43528F">
          <wp:extent cx="1678675" cy="615315"/>
          <wp:effectExtent l="0" t="0" r="0" b="0"/>
          <wp:docPr id="86" name="Picture 8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580"/>
    <w:multiLevelType w:val="hybridMultilevel"/>
    <w:tmpl w:val="4C0AB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1ED"/>
    <w:multiLevelType w:val="hybridMultilevel"/>
    <w:tmpl w:val="CFD4B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31"/>
    <w:multiLevelType w:val="hybridMultilevel"/>
    <w:tmpl w:val="2CA4D372"/>
    <w:lvl w:ilvl="0" w:tplc="7B3C3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6DD"/>
    <w:multiLevelType w:val="hybridMultilevel"/>
    <w:tmpl w:val="B3E4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DFD"/>
    <w:multiLevelType w:val="hybridMultilevel"/>
    <w:tmpl w:val="6764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4B5"/>
    <w:multiLevelType w:val="hybridMultilevel"/>
    <w:tmpl w:val="0948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B36"/>
    <w:multiLevelType w:val="hybridMultilevel"/>
    <w:tmpl w:val="924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5B6F"/>
    <w:multiLevelType w:val="hybridMultilevel"/>
    <w:tmpl w:val="EF867756"/>
    <w:lvl w:ilvl="0" w:tplc="7B3C3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612F"/>
    <w:multiLevelType w:val="hybridMultilevel"/>
    <w:tmpl w:val="119C0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8AB"/>
    <w:multiLevelType w:val="multilevel"/>
    <w:tmpl w:val="B96AA1E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8"/>
        </w:tabs>
        <w:ind w:left="2978" w:hanging="1134"/>
      </w:pPr>
      <w:rPr>
        <w:b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pStyle w:val="Heading6"/>
      <w:lvlText w:val="(%6)"/>
      <w:lvlJc w:val="left"/>
      <w:pPr>
        <w:tabs>
          <w:tab w:val="num" w:pos="4536"/>
        </w:tabs>
        <w:ind w:left="4536" w:hanging="567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023848786">
    <w:abstractNumId w:val="9"/>
  </w:num>
  <w:num w:numId="2" w16cid:durableId="1381439104">
    <w:abstractNumId w:val="4"/>
  </w:num>
  <w:num w:numId="3" w16cid:durableId="175926295">
    <w:abstractNumId w:val="8"/>
  </w:num>
  <w:num w:numId="4" w16cid:durableId="1955478792">
    <w:abstractNumId w:val="6"/>
  </w:num>
  <w:num w:numId="5" w16cid:durableId="123935217">
    <w:abstractNumId w:val="5"/>
  </w:num>
  <w:num w:numId="6" w16cid:durableId="1989624238">
    <w:abstractNumId w:val="0"/>
  </w:num>
  <w:num w:numId="7" w16cid:durableId="1092821178">
    <w:abstractNumId w:val="3"/>
  </w:num>
  <w:num w:numId="8" w16cid:durableId="588386423">
    <w:abstractNumId w:val="7"/>
  </w:num>
  <w:num w:numId="9" w16cid:durableId="1523935101">
    <w:abstractNumId w:val="2"/>
  </w:num>
  <w:num w:numId="10" w16cid:durableId="20177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7F"/>
    <w:rsid w:val="00080430"/>
    <w:rsid w:val="00085A2B"/>
    <w:rsid w:val="00095B5A"/>
    <w:rsid w:val="0009780A"/>
    <w:rsid w:val="000F0C27"/>
    <w:rsid w:val="001A2B3F"/>
    <w:rsid w:val="001C3840"/>
    <w:rsid w:val="00230300"/>
    <w:rsid w:val="0027049E"/>
    <w:rsid w:val="00281044"/>
    <w:rsid w:val="002A3A17"/>
    <w:rsid w:val="002B3CAB"/>
    <w:rsid w:val="003B4054"/>
    <w:rsid w:val="003F486B"/>
    <w:rsid w:val="0045555D"/>
    <w:rsid w:val="00471389"/>
    <w:rsid w:val="00476801"/>
    <w:rsid w:val="004B3854"/>
    <w:rsid w:val="004E501F"/>
    <w:rsid w:val="004E638B"/>
    <w:rsid w:val="0053065B"/>
    <w:rsid w:val="00536D31"/>
    <w:rsid w:val="005D5669"/>
    <w:rsid w:val="005D632A"/>
    <w:rsid w:val="005F747F"/>
    <w:rsid w:val="00600EBD"/>
    <w:rsid w:val="00620BD1"/>
    <w:rsid w:val="00620BEC"/>
    <w:rsid w:val="006364EC"/>
    <w:rsid w:val="006365CC"/>
    <w:rsid w:val="0065064F"/>
    <w:rsid w:val="00665FA4"/>
    <w:rsid w:val="006826E0"/>
    <w:rsid w:val="00706134"/>
    <w:rsid w:val="00757AD8"/>
    <w:rsid w:val="00773318"/>
    <w:rsid w:val="007A2CAC"/>
    <w:rsid w:val="00865B29"/>
    <w:rsid w:val="008C3198"/>
    <w:rsid w:val="008E6E62"/>
    <w:rsid w:val="008F6FA0"/>
    <w:rsid w:val="00907EA7"/>
    <w:rsid w:val="0092021A"/>
    <w:rsid w:val="0092316D"/>
    <w:rsid w:val="00943DBA"/>
    <w:rsid w:val="00946C19"/>
    <w:rsid w:val="009B442C"/>
    <w:rsid w:val="00A12962"/>
    <w:rsid w:val="00A12B24"/>
    <w:rsid w:val="00AD4B89"/>
    <w:rsid w:val="00AE4F0C"/>
    <w:rsid w:val="00AE5FB6"/>
    <w:rsid w:val="00AF3F82"/>
    <w:rsid w:val="00B1081F"/>
    <w:rsid w:val="00BE1428"/>
    <w:rsid w:val="00BE24B0"/>
    <w:rsid w:val="00BE3B5A"/>
    <w:rsid w:val="00BF2364"/>
    <w:rsid w:val="00C16973"/>
    <w:rsid w:val="00C2230B"/>
    <w:rsid w:val="00C34273"/>
    <w:rsid w:val="00C5735F"/>
    <w:rsid w:val="00CA7A7B"/>
    <w:rsid w:val="00CC32B9"/>
    <w:rsid w:val="00D45CDE"/>
    <w:rsid w:val="00D66CF7"/>
    <w:rsid w:val="00D811F4"/>
    <w:rsid w:val="00D939D3"/>
    <w:rsid w:val="00DC3D1C"/>
    <w:rsid w:val="00DC514B"/>
    <w:rsid w:val="00E53E5B"/>
    <w:rsid w:val="00EB1F4F"/>
    <w:rsid w:val="00EF78D6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309D4"/>
  <w15:docId w15:val="{1422F8BD-E3DA-4EED-9195-D270475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7F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5F747F"/>
    <w:pPr>
      <w:keepNext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5F747F"/>
    <w:pPr>
      <w:numPr>
        <w:ilvl w:val="1"/>
        <w:numId w:val="1"/>
      </w:numPr>
      <w:tabs>
        <w:tab w:val="clear" w:pos="851"/>
      </w:tabs>
      <w:spacing w:before="240"/>
      <w:outlineLvl w:val="1"/>
    </w:pPr>
  </w:style>
  <w:style w:type="paragraph" w:styleId="Heading3">
    <w:name w:val="heading 3"/>
    <w:basedOn w:val="Normal"/>
    <w:link w:val="Heading3Char"/>
    <w:qFormat/>
    <w:rsid w:val="005F747F"/>
    <w:pPr>
      <w:numPr>
        <w:ilvl w:val="2"/>
        <w:numId w:val="1"/>
      </w:numPr>
      <w:tabs>
        <w:tab w:val="clear" w:pos="851"/>
        <w:tab w:val="clear" w:pos="2835"/>
      </w:tabs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5F747F"/>
    <w:pPr>
      <w:numPr>
        <w:ilvl w:val="3"/>
        <w:numId w:val="1"/>
      </w:numPr>
      <w:tabs>
        <w:tab w:val="clear" w:pos="851"/>
      </w:tabs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5F747F"/>
    <w:pPr>
      <w:numPr>
        <w:ilvl w:val="4"/>
        <w:numId w:val="1"/>
      </w:numPr>
      <w:tabs>
        <w:tab w:val="clear" w:pos="851"/>
      </w:tabs>
      <w:spacing w:before="240"/>
      <w:outlineLvl w:val="4"/>
    </w:pPr>
  </w:style>
  <w:style w:type="paragraph" w:styleId="Heading6">
    <w:name w:val="heading 6"/>
    <w:basedOn w:val="Normal"/>
    <w:link w:val="Heading6Char"/>
    <w:qFormat/>
    <w:rsid w:val="005F747F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F747F"/>
    <w:pPr>
      <w:numPr>
        <w:ilvl w:val="6"/>
        <w:numId w:val="1"/>
      </w:numPr>
      <w:tabs>
        <w:tab w:val="clear" w:pos="851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F747F"/>
    <w:pPr>
      <w:numPr>
        <w:ilvl w:val="7"/>
        <w:numId w:val="1"/>
      </w:numPr>
      <w:tabs>
        <w:tab w:val="clear" w:pos="851"/>
      </w:tabs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F747F"/>
    <w:pPr>
      <w:numPr>
        <w:ilvl w:val="8"/>
        <w:numId w:val="1"/>
      </w:numPr>
      <w:tabs>
        <w:tab w:val="clear" w:pos="851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47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F747F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F747F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F747F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F747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F747F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F747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F747F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F747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5F747F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7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5F74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47F"/>
    <w:pPr>
      <w:ind w:left="720"/>
      <w:contextualSpacing/>
    </w:pPr>
  </w:style>
  <w:style w:type="paragraph" w:customStyle="1" w:styleId="Default">
    <w:name w:val="Default"/>
    <w:rsid w:val="005F74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Props1.xml><?xml version="1.0" encoding="utf-8"?>
<ds:datastoreItem xmlns:ds="http://schemas.openxmlformats.org/officeDocument/2006/customXml" ds:itemID="{FBA1D250-4202-42BF-A8FC-DB8635FD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52990-456D-4CD7-8A93-E196BCFEF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523AA-EDE3-421F-AD64-A7E18E2D16D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15487d03-6775-40ee-9924-ec5bcaa9205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63ef5b-805f-4491-9bf2-a2d26d9dd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Infrastructure Clinical Supervision (PICS) Claim Form</vt:lpstr>
    </vt:vector>
  </TitlesOfParts>
  <Company>Royal Australasian College Of Surgeons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Infrastructure Clinical Supervision (PICS) Claim Form</dc:title>
  <dc:subject/>
  <dc:creator>Alex Kingham</dc:creator>
  <cp:keywords/>
  <dc:description/>
  <cp:lastModifiedBy>Kirsty Grove</cp:lastModifiedBy>
  <cp:revision>5</cp:revision>
  <cp:lastPrinted>2020-01-09T21:17:00Z</cp:lastPrinted>
  <dcterms:created xsi:type="dcterms:W3CDTF">2022-08-08T13:46:00Z</dcterms:created>
  <dcterms:modified xsi:type="dcterms:W3CDTF">2023-09-07T04:07:00Z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{97ccc719-3510-40e0-acf7-694183f9be92}</vt:lpwstr>
  </property>
  <property fmtid="{D5CDD505-2E9C-101B-9397-08002B2CF9AE}" pid="13" name="RecordPoint_RecordNumberSubmitted">
    <vt:lpwstr>R0000598120</vt:lpwstr>
  </property>
  <property fmtid="{D5CDD505-2E9C-101B-9397-08002B2CF9AE}" pid="14" name="RecordPoint_SubmissionCompleted">
    <vt:lpwstr>2018-08-14T11:25:13.3016008+10:00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